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6656DF" w:rsidRDefault="00F92268" w:rsidP="00850792">
      <w:pPr>
        <w:pStyle w:val="BodyText"/>
        <w:rPr>
          <w:sz w:val="6"/>
          <w:szCs w:val="6"/>
        </w:rPr>
      </w:pPr>
      <w:r w:rsidRPr="006656DF">
        <w:rPr>
          <w:noProof/>
        </w:rPr>
        <w:drawing>
          <wp:inline distT="0" distB="0" distL="0" distR="0" wp14:anchorId="0F8F2AD5" wp14:editId="4E19124C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6656DF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6656DF" w:rsidRDefault="00F92268" w:rsidP="00F246C7">
            <w:pPr>
              <w:pStyle w:val="RefTableData"/>
            </w:pPr>
            <w:r w:rsidRPr="006656DF">
              <w:t>Reference number(s)</w:t>
            </w:r>
          </w:p>
        </w:tc>
      </w:tr>
      <w:tr w:rsidR="00F92268" w:rsidRPr="006656DF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5B05FE1" w:rsidR="00F92268" w:rsidRPr="006656DF" w:rsidRDefault="002A5D89" w:rsidP="00F246C7">
            <w:pPr>
              <w:pStyle w:val="RefTableHeader"/>
            </w:pPr>
            <w:r w:rsidRPr="006656DF">
              <w:t>1838-A</w:t>
            </w:r>
          </w:p>
        </w:tc>
      </w:tr>
    </w:tbl>
    <w:p w14:paraId="3F4DE49F" w14:textId="78343CF4" w:rsidR="004B15BB" w:rsidRPr="006656DF" w:rsidRDefault="00981711" w:rsidP="007E5C16">
      <w:pPr>
        <w:pStyle w:val="Heading1"/>
      </w:pPr>
      <w:r w:rsidRPr="006656DF">
        <w:t>Specialty Guideline Management</w:t>
      </w:r>
      <w:r w:rsidR="008C54D9" w:rsidRPr="006656DF">
        <w:br/>
      </w:r>
      <w:r w:rsidRPr="006656DF">
        <w:t>Gattex</w:t>
      </w:r>
    </w:p>
    <w:p w14:paraId="78861C92" w14:textId="3FAABB3E" w:rsidR="00203468" w:rsidRPr="006656DF" w:rsidRDefault="00C64534" w:rsidP="008E0F0D">
      <w:pPr>
        <w:pStyle w:val="Heading2"/>
      </w:pPr>
      <w:r w:rsidRPr="006656DF">
        <w:t xml:space="preserve">Products Referenced by this </w:t>
      </w:r>
      <w:r w:rsidR="00501602" w:rsidRPr="006656DF">
        <w:t>Document</w:t>
      </w:r>
    </w:p>
    <w:p w14:paraId="5455152B" w14:textId="3692BC98" w:rsidR="008E0F0D" w:rsidRPr="006656DF" w:rsidRDefault="00D82D85" w:rsidP="008B73E8">
      <w:pPr>
        <w:pStyle w:val="BodyText"/>
      </w:pPr>
      <w:r w:rsidRPr="006656DF">
        <w:t xml:space="preserve">Drugs that are listed in the </w:t>
      </w:r>
      <w:r w:rsidR="000315F1" w:rsidRPr="006656DF">
        <w:t>following table</w:t>
      </w:r>
      <w:r w:rsidRPr="006656DF">
        <w:t xml:space="preserve"> include both brand and generic and all dosage forms and strengths unless otherwise stated. </w:t>
      </w:r>
      <w:r w:rsidR="003A0BD0">
        <w:t>Over the counter (</w:t>
      </w:r>
      <w:r w:rsidRPr="006656DF">
        <w:t>OTC</w:t>
      </w:r>
      <w:r w:rsidR="003A0BD0">
        <w:t>)</w:t>
      </w:r>
      <w:r w:rsidRPr="006656DF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6656DF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6656DF" w:rsidRDefault="00252CE1" w:rsidP="00AA1E6A">
            <w:pPr>
              <w:pStyle w:val="TableHeader"/>
            </w:pPr>
            <w:bookmarkStart w:id="0" w:name="_Hlk159603270"/>
            <w:r w:rsidRPr="006656DF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6656DF" w:rsidRDefault="00252CE1" w:rsidP="00AA1E6A">
            <w:pPr>
              <w:pStyle w:val="TableHeader"/>
            </w:pPr>
            <w:r w:rsidRPr="006656DF">
              <w:t>Generic Name</w:t>
            </w:r>
          </w:p>
        </w:tc>
      </w:tr>
      <w:tr w:rsidR="00585FFF" w:rsidRPr="006656DF" w14:paraId="2AD5C02D" w14:textId="77777777" w:rsidTr="000C5A6F">
        <w:trPr>
          <w:cantSplit/>
        </w:trPr>
        <w:tc>
          <w:tcPr>
            <w:tcW w:w="5265" w:type="dxa"/>
          </w:tcPr>
          <w:p w14:paraId="2D8FA8E3" w14:textId="0E454184" w:rsidR="00585FFF" w:rsidRPr="006656DF" w:rsidRDefault="00981711" w:rsidP="00E82ABA">
            <w:pPr>
              <w:pStyle w:val="TableDataUnpadded"/>
            </w:pPr>
            <w:r w:rsidRPr="006656DF">
              <w:t>Gattex</w:t>
            </w:r>
          </w:p>
        </w:tc>
        <w:tc>
          <w:tcPr>
            <w:tcW w:w="5595" w:type="dxa"/>
          </w:tcPr>
          <w:p w14:paraId="7E26A004" w14:textId="464B94D3" w:rsidR="00585FFF" w:rsidRPr="006656DF" w:rsidRDefault="00981711" w:rsidP="00E82ABA">
            <w:pPr>
              <w:pStyle w:val="TableDataUnpadded"/>
            </w:pPr>
            <w:r w:rsidRPr="006656DF">
              <w:t>teduglutide</w:t>
            </w:r>
          </w:p>
        </w:tc>
      </w:tr>
    </w:tbl>
    <w:bookmarkEnd w:id="0"/>
    <w:p w14:paraId="14CE6108" w14:textId="4D49390F" w:rsidR="00FC1AAD" w:rsidRPr="006656DF" w:rsidRDefault="00ED052F" w:rsidP="002A5D89">
      <w:pPr>
        <w:pStyle w:val="Heading2"/>
        <w:tabs>
          <w:tab w:val="left" w:pos="9525"/>
        </w:tabs>
      </w:pPr>
      <w:r w:rsidRPr="006656DF">
        <w:t>Indications</w:t>
      </w:r>
    </w:p>
    <w:p w14:paraId="7301F15C" w14:textId="183C58F3" w:rsidR="00981711" w:rsidRPr="006656DF" w:rsidRDefault="00981711" w:rsidP="00DF4A2A">
      <w:pPr>
        <w:pStyle w:val="BodyText"/>
        <w:ind w:right="374"/>
      </w:pPr>
      <w:r w:rsidRPr="006656DF">
        <w:t xml:space="preserve">The indications below including FDA-approved indications and compendial uses are considered a covered benefit provided that all the approval criteria are </w:t>
      </w:r>
      <w:proofErr w:type="gramStart"/>
      <w:r w:rsidRPr="006656DF">
        <w:t>met</w:t>
      </w:r>
      <w:proofErr w:type="gramEnd"/>
      <w:r w:rsidRPr="006656DF">
        <w:t xml:space="preserve"> and the member has no exclusions to the prescribed therapy</w:t>
      </w:r>
    </w:p>
    <w:p w14:paraId="134B5687" w14:textId="1AAB25C6" w:rsidR="00ED052F" w:rsidRPr="006656DF" w:rsidRDefault="00ED052F" w:rsidP="00ED052F">
      <w:pPr>
        <w:pStyle w:val="Heading3"/>
        <w:keepNext w:val="0"/>
      </w:pPr>
      <w:r w:rsidRPr="006656DF">
        <w:t>FDA-approved Indications</w:t>
      </w:r>
    </w:p>
    <w:p w14:paraId="4C434745" w14:textId="1D4B29E5" w:rsidR="00ED052F" w:rsidRPr="006656DF" w:rsidRDefault="00D07673" w:rsidP="00DF4A2A">
      <w:pPr>
        <w:pStyle w:val="BodyText"/>
        <w:ind w:right="374"/>
      </w:pPr>
      <w:r w:rsidRPr="002278D3">
        <w:t>Indicated for the</w:t>
      </w:r>
      <w:r>
        <w:t xml:space="preserve"> t</w:t>
      </w:r>
      <w:r w:rsidR="00981711" w:rsidRPr="006656DF">
        <w:t>reatment of adult and pediatric patients 1 year of age and older with short bowel syndrome (SBS) who are dependent on parenteral support</w:t>
      </w:r>
      <w:r w:rsidR="00ED052F" w:rsidRPr="006656DF">
        <w:t>.</w:t>
      </w:r>
    </w:p>
    <w:p w14:paraId="0D5A9DD5" w14:textId="0713641D" w:rsidR="009A5649" w:rsidRPr="006656DF" w:rsidRDefault="00981711" w:rsidP="00DF4A2A">
      <w:pPr>
        <w:pStyle w:val="BodyText"/>
        <w:ind w:right="374"/>
        <w:rPr>
          <w:rFonts w:eastAsia="Arial"/>
        </w:rPr>
      </w:pPr>
      <w:r w:rsidRPr="006656DF">
        <w:t>All other indications are considered experimental/investigational and not medically necessary</w:t>
      </w:r>
      <w:r w:rsidR="009A5649" w:rsidRPr="006656DF">
        <w:rPr>
          <w:rFonts w:eastAsia="Arial"/>
        </w:rPr>
        <w:t>.</w:t>
      </w:r>
    </w:p>
    <w:p w14:paraId="36381B6D" w14:textId="47E1B321" w:rsidR="000D2496" w:rsidRPr="006656DF" w:rsidRDefault="000D2496" w:rsidP="000D2496">
      <w:pPr>
        <w:pStyle w:val="Heading2"/>
      </w:pPr>
      <w:r w:rsidRPr="006656DF">
        <w:t>Documentation</w:t>
      </w:r>
    </w:p>
    <w:p w14:paraId="2180ED6E" w14:textId="0DF46F99" w:rsidR="000D2496" w:rsidRPr="006656DF" w:rsidRDefault="000D2496" w:rsidP="00DF4A2A">
      <w:pPr>
        <w:pStyle w:val="BodyText"/>
        <w:ind w:right="374"/>
      </w:pPr>
      <w:r w:rsidRPr="006656DF">
        <w:t>S</w:t>
      </w:r>
      <w:r w:rsidR="00CE3EA6" w:rsidRPr="006656DF">
        <w:t>ubmission of the following information is necessary to initiate the prior authorization review</w:t>
      </w:r>
    </w:p>
    <w:p w14:paraId="68B6F17F" w14:textId="77777777" w:rsidR="00B5575D" w:rsidRPr="006656DF" w:rsidRDefault="00B5575D" w:rsidP="00B5575D">
      <w:pPr>
        <w:pStyle w:val="Heading3"/>
      </w:pPr>
      <w:r w:rsidRPr="006656DF">
        <w:t>Initial requests</w:t>
      </w:r>
    </w:p>
    <w:p w14:paraId="4D5B83CE" w14:textId="6DCBDE3D" w:rsidR="00B5575D" w:rsidRPr="006656DF" w:rsidRDefault="00B5575D" w:rsidP="00DF4A2A">
      <w:pPr>
        <w:pStyle w:val="ListParagraph"/>
        <w:numPr>
          <w:ilvl w:val="0"/>
          <w:numId w:val="32"/>
        </w:numPr>
      </w:pPr>
      <w:r w:rsidRPr="006656DF">
        <w:t xml:space="preserve">Adult members: Chart notes supporting the use of parenteral nutrition/intravenous (IV) fluids at </w:t>
      </w:r>
      <w:r w:rsidRPr="008E63BC">
        <w:t>least 3 times a week for 12 months</w:t>
      </w:r>
      <w:r w:rsidRPr="006656DF">
        <w:t xml:space="preserve"> and current volume of parenteral support in liters per week.</w:t>
      </w:r>
    </w:p>
    <w:p w14:paraId="4ADC5A8A" w14:textId="77777777" w:rsidR="00B5575D" w:rsidRPr="006656DF" w:rsidRDefault="00B5575D" w:rsidP="00DF4A2A">
      <w:pPr>
        <w:pStyle w:val="ListParagraph"/>
        <w:numPr>
          <w:ilvl w:val="0"/>
          <w:numId w:val="32"/>
        </w:numPr>
      </w:pPr>
      <w:r w:rsidRPr="006656DF">
        <w:lastRenderedPageBreak/>
        <w:t xml:space="preserve">Members less than 18 years of age: Chart notes supporting the use of parenteral nutrition/IV fluids accounting for at </w:t>
      </w:r>
      <w:r w:rsidRPr="008E63BC">
        <w:t>least 30% of caloric</w:t>
      </w:r>
      <w:r w:rsidRPr="006656DF">
        <w:t xml:space="preserve"> and/or fluid/electrolyte needs.</w:t>
      </w:r>
    </w:p>
    <w:p w14:paraId="028A3EC5" w14:textId="756A09DC" w:rsidR="00B5575D" w:rsidRPr="006656DF" w:rsidRDefault="00B5575D" w:rsidP="00B5575D">
      <w:pPr>
        <w:pStyle w:val="Heading3"/>
      </w:pPr>
      <w:r w:rsidRPr="006656DF">
        <w:t>Continuation requests</w:t>
      </w:r>
    </w:p>
    <w:p w14:paraId="0C96CEDB" w14:textId="77777777" w:rsidR="00B5575D" w:rsidRPr="006656DF" w:rsidRDefault="00B5575D" w:rsidP="00DF4A2A">
      <w:pPr>
        <w:pStyle w:val="ListParagraph"/>
        <w:numPr>
          <w:ilvl w:val="0"/>
          <w:numId w:val="33"/>
        </w:numPr>
      </w:pPr>
      <w:r w:rsidRPr="006656DF">
        <w:t>Members who remain dependent on parenteral nutrition/IV fluids: Chart notes supporting the continued use of parenteral nutrition/IV fluids and current volume of parenteral support in liters per week.</w:t>
      </w:r>
    </w:p>
    <w:p w14:paraId="108A5F63" w14:textId="00092F7E" w:rsidR="00B5575D" w:rsidRPr="006656DF" w:rsidRDefault="00B5575D" w:rsidP="00DF4A2A">
      <w:pPr>
        <w:pStyle w:val="ListParagraph"/>
        <w:numPr>
          <w:ilvl w:val="0"/>
          <w:numId w:val="33"/>
        </w:numPr>
      </w:pPr>
      <w:r w:rsidRPr="006656DF">
        <w:t>Members who were previously dependent on parenteral nutrition/IV fluids and have been weaned off parenteral support while on therapy with the requested drug: Chart notes supporting previous dependence on parenteral nutrition/IV fluids and the volume of parenteral support in liters per week required at baseline.</w:t>
      </w:r>
    </w:p>
    <w:p w14:paraId="2756D0D2" w14:textId="6832C328" w:rsidR="002F40EC" w:rsidRPr="006656DF" w:rsidRDefault="00DF4A2A" w:rsidP="002F40EC">
      <w:pPr>
        <w:pStyle w:val="Heading2"/>
      </w:pPr>
      <w:r w:rsidRPr="006656DF">
        <w:t>Coverage Criteria</w:t>
      </w:r>
    </w:p>
    <w:p w14:paraId="77D6ABF9" w14:textId="77777777" w:rsidR="002F40EC" w:rsidRPr="006656DF" w:rsidRDefault="002F40EC" w:rsidP="002F40EC">
      <w:pPr>
        <w:pStyle w:val="Heading3"/>
      </w:pPr>
      <w:r w:rsidRPr="006656DF">
        <w:t>Short bowel syndrome (SBS)</w:t>
      </w:r>
      <w:r w:rsidRPr="006656DF">
        <w:rPr>
          <w:vertAlign w:val="superscript"/>
        </w:rPr>
        <w:t>1-4</w:t>
      </w:r>
    </w:p>
    <w:p w14:paraId="56988F27" w14:textId="619C30C3" w:rsidR="00E80CC7" w:rsidRDefault="002F40EC" w:rsidP="008E63BC">
      <w:pPr>
        <w:pStyle w:val="BodyText"/>
      </w:pPr>
      <w:r w:rsidRPr="00691F63">
        <w:t xml:space="preserve">Authorization of 6 months may be granted for treatment of short bowel syndrome </w:t>
      </w:r>
      <w:r w:rsidR="00E80CC7">
        <w:t xml:space="preserve">if </w:t>
      </w:r>
      <w:r w:rsidR="00714EE2">
        <w:t xml:space="preserve">either of </w:t>
      </w:r>
      <w:r w:rsidR="00E80CC7">
        <w:t>the following criteria are met:</w:t>
      </w:r>
    </w:p>
    <w:p w14:paraId="1C7D3F21" w14:textId="0A5A5F74" w:rsidR="002F40EC" w:rsidRPr="00691F63" w:rsidRDefault="00E80CC7" w:rsidP="008E63BC">
      <w:pPr>
        <w:pStyle w:val="BodyText"/>
        <w:numPr>
          <w:ilvl w:val="0"/>
          <w:numId w:val="36"/>
        </w:numPr>
      </w:pPr>
      <w:r>
        <w:t>A</w:t>
      </w:r>
      <w:r w:rsidR="002F40EC" w:rsidRPr="00691F63">
        <w:t>dult members dependent on parenteral nutrition and/or intravenous (IV) fluids for at least 12 months and are receiving parenteral nutrition and/or IV fluids at least 3 times a week.</w:t>
      </w:r>
    </w:p>
    <w:p w14:paraId="0BEB8758" w14:textId="265056AF" w:rsidR="002F40EC" w:rsidRPr="00691F63" w:rsidRDefault="00E80CC7" w:rsidP="008E63BC">
      <w:pPr>
        <w:pStyle w:val="BodyText"/>
        <w:numPr>
          <w:ilvl w:val="0"/>
          <w:numId w:val="36"/>
        </w:numPr>
      </w:pPr>
      <w:r>
        <w:t>M</w:t>
      </w:r>
      <w:r w:rsidR="002F40EC" w:rsidRPr="00691F63">
        <w:t xml:space="preserve">embers less than 18 years of age </w:t>
      </w:r>
      <w:r w:rsidR="006139D0">
        <w:t>r</w:t>
      </w:r>
      <w:r w:rsidR="002F40EC" w:rsidRPr="00691F63">
        <w:t>eceiving parenteral nutrition and/or IV fluids to account for at least 30% of caloric and/or fluid/electrolyte needs.</w:t>
      </w:r>
    </w:p>
    <w:p w14:paraId="3A643EC3" w14:textId="4B3B2287" w:rsidR="00A501AC" w:rsidRPr="006656DF" w:rsidRDefault="00A501AC" w:rsidP="00A501AC">
      <w:pPr>
        <w:pStyle w:val="Heading2"/>
      </w:pPr>
      <w:r w:rsidRPr="006656DF">
        <w:t>Continuation of Therapy</w:t>
      </w:r>
    </w:p>
    <w:p w14:paraId="7ABC7DDF" w14:textId="77777777" w:rsidR="002F40EC" w:rsidRPr="006656DF" w:rsidRDefault="002F40EC" w:rsidP="002F40EC">
      <w:pPr>
        <w:pStyle w:val="Heading3"/>
      </w:pPr>
      <w:r w:rsidRPr="006656DF">
        <w:t>Short bowel syndrome (SBS)</w:t>
      </w:r>
      <w:r w:rsidRPr="006656DF">
        <w:rPr>
          <w:vertAlign w:val="superscript"/>
        </w:rPr>
        <w:t>1-4</w:t>
      </w:r>
    </w:p>
    <w:p w14:paraId="3B8DB520" w14:textId="100B6FCA" w:rsidR="00840E81" w:rsidRDefault="002F40EC" w:rsidP="00691F63">
      <w:pPr>
        <w:pStyle w:val="BodyText"/>
      </w:pPr>
      <w:r w:rsidRPr="00691F63">
        <w:t>Authorization of 6 months may be granted for</w:t>
      </w:r>
      <w:r w:rsidR="006139D0">
        <w:t xml:space="preserve"> continued treatment in members requesting </w:t>
      </w:r>
      <w:proofErr w:type="gramStart"/>
      <w:r w:rsidR="006139D0">
        <w:t xml:space="preserve">reauthorization </w:t>
      </w:r>
      <w:r w:rsidRPr="00691F63">
        <w:t xml:space="preserve"> </w:t>
      </w:r>
      <w:r w:rsidR="00571218">
        <w:t>when</w:t>
      </w:r>
      <w:proofErr w:type="gramEnd"/>
      <w:r w:rsidR="00571218">
        <w:t xml:space="preserve"> </w:t>
      </w:r>
      <w:r w:rsidR="00240F2D">
        <w:t>either</w:t>
      </w:r>
      <w:r w:rsidR="00571218">
        <w:t xml:space="preserve"> of the following is met:</w:t>
      </w:r>
    </w:p>
    <w:p w14:paraId="0E7F3D48" w14:textId="77777777" w:rsidR="008E63BC" w:rsidRDefault="00840E81" w:rsidP="008E63BC">
      <w:pPr>
        <w:pStyle w:val="BodyText"/>
        <w:numPr>
          <w:ilvl w:val="0"/>
          <w:numId w:val="37"/>
        </w:numPr>
      </w:pPr>
      <w:r>
        <w:t xml:space="preserve">The member remains </w:t>
      </w:r>
      <w:r w:rsidR="002F40EC" w:rsidRPr="00691F63">
        <w:t xml:space="preserve">dependent on parenteral nutrition and/or intravenous (IV) fluids and </w:t>
      </w:r>
      <w:r w:rsidR="00EB460A">
        <w:t>the</w:t>
      </w:r>
      <w:r w:rsidR="00EB460A" w:rsidRPr="00691F63">
        <w:t xml:space="preserve"> </w:t>
      </w:r>
      <w:r w:rsidR="002F40EC" w:rsidRPr="00691F63">
        <w:t>requirement for parenteral support has decreased by at least 20% from baseline while on therapy with the requested drug.</w:t>
      </w:r>
    </w:p>
    <w:p w14:paraId="74A7A659" w14:textId="45E8F27A" w:rsidR="00067791" w:rsidRPr="00691F63" w:rsidRDefault="00EB460A" w:rsidP="008E63BC">
      <w:pPr>
        <w:pStyle w:val="BodyText"/>
        <w:numPr>
          <w:ilvl w:val="0"/>
          <w:numId w:val="37"/>
        </w:numPr>
      </w:pPr>
      <w:r>
        <w:t>The</w:t>
      </w:r>
      <w:r w:rsidR="002F40EC" w:rsidRPr="00691F63">
        <w:t xml:space="preserve"> member </w:t>
      </w:r>
      <w:r>
        <w:t>was</w:t>
      </w:r>
      <w:r w:rsidR="002F40EC" w:rsidRPr="00691F63">
        <w:t xml:space="preserve"> previously dependent on parenteral nutrition and/or IV fluids and have been able to wean off the requirement for parenteral support while on therapy with the requested drug</w:t>
      </w:r>
      <w:r w:rsidR="00067791" w:rsidRPr="00691F63">
        <w:t>.</w:t>
      </w:r>
    </w:p>
    <w:p w14:paraId="05B6DEFF" w14:textId="517201A9" w:rsidR="008B1332" w:rsidRPr="006656DF" w:rsidRDefault="002F40EC" w:rsidP="008B1332">
      <w:pPr>
        <w:pStyle w:val="Heading2"/>
      </w:pPr>
      <w:r w:rsidRPr="006656DF">
        <w:lastRenderedPageBreak/>
        <w:t>Dosage And Administration</w:t>
      </w:r>
    </w:p>
    <w:p w14:paraId="7A2343C5" w14:textId="5B011ADE" w:rsidR="00D24F6F" w:rsidRPr="006656DF" w:rsidRDefault="002F40EC" w:rsidP="00DF4A2A">
      <w:pPr>
        <w:pStyle w:val="BodyText"/>
        <w:ind w:right="374"/>
      </w:pPr>
      <w:r w:rsidRPr="006656DF">
        <w:t>Approvals may be subject to dosing limits in accordance with FDA-approved labeling, accepted compendia, and/or evidence-based practice guidelines</w:t>
      </w:r>
      <w:r w:rsidR="00D24F6F" w:rsidRPr="006656DF">
        <w:t>.</w:t>
      </w:r>
    </w:p>
    <w:p w14:paraId="10DA4309" w14:textId="09901D36" w:rsidR="00FF66BF" w:rsidRPr="006656DF" w:rsidRDefault="00FF66BF" w:rsidP="00FF66BF">
      <w:pPr>
        <w:pStyle w:val="Heading2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6656DF">
        <w:t>References</w:t>
      </w:r>
    </w:p>
    <w:p w14:paraId="17DBDB0C" w14:textId="355C25C2" w:rsidR="00901161" w:rsidRPr="006656DF" w:rsidRDefault="00901161" w:rsidP="00901161">
      <w:pPr>
        <w:pStyle w:val="ReferenceOrdered"/>
      </w:pPr>
      <w:r w:rsidRPr="006656DF">
        <w:t xml:space="preserve">Gattex [package insert]. Lexington, MA: Takeda Pharmaceuticals America, Inc.; </w:t>
      </w:r>
      <w:r w:rsidR="0057611F">
        <w:t>September 2024</w:t>
      </w:r>
      <w:r w:rsidRPr="0057611F">
        <w:t>.</w:t>
      </w:r>
    </w:p>
    <w:p w14:paraId="686F25C3" w14:textId="77777777" w:rsidR="00901161" w:rsidRPr="006656DF" w:rsidRDefault="00901161" w:rsidP="00901161">
      <w:pPr>
        <w:pStyle w:val="ReferenceOrdered"/>
      </w:pPr>
      <w:r w:rsidRPr="006656DF">
        <w:t xml:space="preserve">Jeppesen PB, </w:t>
      </w:r>
      <w:proofErr w:type="spellStart"/>
      <w:r w:rsidRPr="006656DF">
        <w:t>Pertkiewicz</w:t>
      </w:r>
      <w:proofErr w:type="spellEnd"/>
      <w:r w:rsidRPr="006656DF">
        <w:t xml:space="preserve"> M, Messing B, et al. Teduglutide reduces need for parenteral support among patients with short bowel syndrome with intestinal failure. Gastroenterology. 2012; 143(6):1473-1481.</w:t>
      </w:r>
    </w:p>
    <w:p w14:paraId="0B0891D8" w14:textId="77777777" w:rsidR="00901161" w:rsidRPr="006656DF" w:rsidRDefault="00901161" w:rsidP="00901161">
      <w:pPr>
        <w:pStyle w:val="ReferenceOrdered"/>
      </w:pPr>
      <w:r w:rsidRPr="006656DF">
        <w:t xml:space="preserve">Schwartz LK, O’Keefe SJD, Fujioka K, et al. Long-term teduglutide for the treatment of patients with intestinal failure associated with short bowel syndrome. Clin </w:t>
      </w:r>
      <w:proofErr w:type="spellStart"/>
      <w:r w:rsidRPr="006656DF">
        <w:t>Transl</w:t>
      </w:r>
      <w:proofErr w:type="spellEnd"/>
      <w:r w:rsidRPr="006656DF">
        <w:t xml:space="preserve"> Gastroenterol. 2016; 7(2):e142.</w:t>
      </w:r>
    </w:p>
    <w:p w14:paraId="1CF11658" w14:textId="30B3AD94" w:rsidR="00FF66BF" w:rsidRPr="006656DF" w:rsidRDefault="00901161" w:rsidP="00C92ADE">
      <w:pPr>
        <w:pStyle w:val="ReferenceOrdered"/>
      </w:pPr>
      <w:r w:rsidRPr="006656DF">
        <w:t xml:space="preserve">Iyer K, </w:t>
      </w:r>
      <w:proofErr w:type="spellStart"/>
      <w:r w:rsidRPr="006656DF">
        <w:t>DiBaise</w:t>
      </w:r>
      <w:proofErr w:type="spellEnd"/>
      <w:r w:rsidRPr="006656DF">
        <w:t xml:space="preserve"> JK, Rubio-Tapia A. AGA Clinical practice update on management of short bowel syndrome: Expert review. Clin Gastroenterol Hepatol. 2022; 20(10):2185-2194</w:t>
      </w:r>
      <w:r w:rsidR="00FF66BF" w:rsidRPr="006656DF">
        <w:t>.</w:t>
      </w:r>
    </w:p>
    <w:sectPr w:rsidR="00FF66BF" w:rsidRPr="006656DF" w:rsidSect="00622F27">
      <w:headerReference w:type="default" r:id="rId12"/>
      <w:footerReference w:type="default" r:id="rId13"/>
      <w:footerReference w:type="first" r:id="rId14"/>
      <w:pgSz w:w="12240" w:h="15840" w:code="1"/>
      <w:pgMar w:top="900" w:right="720" w:bottom="990" w:left="720" w:header="36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B08C7" w14:textId="77777777" w:rsidR="00235D9D" w:rsidRDefault="00235D9D">
      <w:r>
        <w:separator/>
      </w:r>
    </w:p>
  </w:endnote>
  <w:endnote w:type="continuationSeparator" w:id="0">
    <w:p w14:paraId="2A32686D" w14:textId="77777777" w:rsidR="00235D9D" w:rsidRDefault="00235D9D">
      <w:r>
        <w:continuationSeparator/>
      </w:r>
    </w:p>
  </w:endnote>
  <w:endnote w:type="continuationNotice" w:id="1">
    <w:p w14:paraId="38302AD4" w14:textId="77777777" w:rsidR="00235D9D" w:rsidRDefault="00235D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5B48C" w14:textId="35621D51" w:rsidR="00DC0BE4" w:rsidRPr="00EC47B6" w:rsidRDefault="00DC0BE4" w:rsidP="00DC0BE4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7C010D" w:rsidRPr="007C010D">
      <w:rPr>
        <w:rFonts w:cs="Arial"/>
        <w:noProof/>
        <w:sz w:val="16"/>
        <w:szCs w:val="16"/>
      </w:rPr>
      <w:t>Gattex</w:t>
    </w:r>
    <w:r w:rsidR="007C010D">
      <w:rPr>
        <w:rFonts w:cs="Arial"/>
        <w:noProof/>
        <w:snapToGrid w:val="0"/>
        <w:color w:val="000000"/>
        <w:sz w:val="16"/>
        <w:szCs w:val="16"/>
      </w:rPr>
      <w:t xml:space="preserve"> SGM 1838-A</w:t>
    </w:r>
    <w:r w:rsidR="007C010D" w:rsidRPr="007C010D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E63BC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4BBC2DD5" w14:textId="77777777" w:rsidR="00DC0BE4" w:rsidRPr="00EC47B6" w:rsidRDefault="00DC0BE4" w:rsidP="00DC0BE4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22778E3D" w14:textId="2E18B400" w:rsidR="00DC0BE4" w:rsidRDefault="00DC0BE4" w:rsidP="00622F27">
    <w:pPr>
      <w:autoSpaceDE w:val="0"/>
      <w:autoSpaceDN w:val="0"/>
      <w:adjustRightInd w:val="0"/>
      <w:jc w:val="center"/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EB813" w14:textId="0CAA31BC" w:rsidR="003A0BD0" w:rsidRPr="00EC47B6" w:rsidRDefault="003A0BD0" w:rsidP="003A0BD0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7C010D" w:rsidRPr="007C010D">
      <w:rPr>
        <w:rFonts w:cs="Arial"/>
        <w:noProof/>
        <w:sz w:val="16"/>
        <w:szCs w:val="16"/>
      </w:rPr>
      <w:t>Gattex</w:t>
    </w:r>
    <w:r w:rsidR="007C010D">
      <w:rPr>
        <w:rFonts w:cs="Arial"/>
        <w:noProof/>
        <w:snapToGrid w:val="0"/>
        <w:color w:val="000000"/>
        <w:sz w:val="16"/>
        <w:szCs w:val="16"/>
      </w:rPr>
      <w:t xml:space="preserve"> SGM 1838-A</w:t>
    </w:r>
    <w:r w:rsidR="007C010D" w:rsidRPr="007C010D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E63BC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11D8AFB0" w14:textId="77777777" w:rsidR="003A0BD0" w:rsidRPr="00EC47B6" w:rsidRDefault="003A0BD0" w:rsidP="003A0BD0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1690F0F6" w14:textId="02D47A3F" w:rsidR="003A0BD0" w:rsidRDefault="003A0BD0" w:rsidP="00622F27">
    <w:pPr>
      <w:autoSpaceDE w:val="0"/>
      <w:autoSpaceDN w:val="0"/>
      <w:adjustRightInd w:val="0"/>
      <w:jc w:val="center"/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121DE" w14:textId="77777777" w:rsidR="00235D9D" w:rsidRDefault="00235D9D">
      <w:r>
        <w:separator/>
      </w:r>
    </w:p>
  </w:footnote>
  <w:footnote w:type="continuationSeparator" w:id="0">
    <w:p w14:paraId="5F719D51" w14:textId="77777777" w:rsidR="00235D9D" w:rsidRDefault="00235D9D">
      <w:r>
        <w:continuationSeparator/>
      </w:r>
    </w:p>
  </w:footnote>
  <w:footnote w:type="continuationNotice" w:id="1">
    <w:p w14:paraId="2042E8EF" w14:textId="77777777" w:rsidR="00235D9D" w:rsidRDefault="00235D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3A0BD0" w:rsidRPr="006656DF" w14:paraId="17DFC188" w14:textId="77777777" w:rsidTr="004E433E">
      <w:trPr>
        <w:trHeight w:val="144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hideMark/>
        </w:tcPr>
        <w:p w14:paraId="7F69C60C" w14:textId="77777777" w:rsidR="003A0BD0" w:rsidRPr="006656DF" w:rsidRDefault="003A0BD0" w:rsidP="003A0BD0">
          <w:pPr>
            <w:pStyle w:val="RefTableData"/>
          </w:pPr>
          <w:r w:rsidRPr="006656DF">
            <w:t>Reference number(s)</w:t>
          </w:r>
        </w:p>
      </w:tc>
    </w:tr>
    <w:tr w:rsidR="003A0BD0" w:rsidRPr="006656DF" w14:paraId="523ECFC4" w14:textId="77777777" w:rsidTr="004E433E">
      <w:trPr>
        <w:trHeight w:val="378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E104BF4" w14:textId="77777777" w:rsidR="003A0BD0" w:rsidRPr="006656DF" w:rsidRDefault="003A0BD0" w:rsidP="003A0BD0">
          <w:pPr>
            <w:pStyle w:val="RefTableHeader"/>
          </w:pPr>
          <w:r w:rsidRPr="006656DF">
            <w:t>1838-A</w:t>
          </w:r>
        </w:p>
      </w:tc>
    </w:tr>
  </w:tbl>
  <w:p w14:paraId="42CFAF70" w14:textId="77777777" w:rsidR="003A0BD0" w:rsidRDefault="003A0BD0" w:rsidP="00622F2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D43FC"/>
    <w:multiLevelType w:val="hybridMultilevel"/>
    <w:tmpl w:val="ACA013C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7B485A"/>
    <w:multiLevelType w:val="hybridMultilevel"/>
    <w:tmpl w:val="E0247FD8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066E83"/>
    <w:multiLevelType w:val="hybridMultilevel"/>
    <w:tmpl w:val="8E467A08"/>
    <w:lvl w:ilvl="0" w:tplc="361C16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EB20E1"/>
    <w:multiLevelType w:val="hybridMultilevel"/>
    <w:tmpl w:val="A838F1F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4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09D18D0"/>
    <w:multiLevelType w:val="hybridMultilevel"/>
    <w:tmpl w:val="F5A0996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9C96A27"/>
    <w:multiLevelType w:val="hybridMultilevel"/>
    <w:tmpl w:val="5414F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A828E4"/>
    <w:multiLevelType w:val="hybridMultilevel"/>
    <w:tmpl w:val="D8C81E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404971"/>
    <w:multiLevelType w:val="hybridMultilevel"/>
    <w:tmpl w:val="732C01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978EF"/>
    <w:multiLevelType w:val="hybridMultilevel"/>
    <w:tmpl w:val="746A6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A1858"/>
    <w:multiLevelType w:val="hybridMultilevel"/>
    <w:tmpl w:val="19ECDB9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8519D2"/>
    <w:multiLevelType w:val="hybridMultilevel"/>
    <w:tmpl w:val="A0BA705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1F42DB"/>
    <w:multiLevelType w:val="hybridMultilevel"/>
    <w:tmpl w:val="8FC269EE"/>
    <w:lvl w:ilvl="0" w:tplc="C540E4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33"/>
  </w:num>
  <w:num w:numId="3" w16cid:durableId="611589570">
    <w:abstractNumId w:val="25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19"/>
  </w:num>
  <w:num w:numId="17" w16cid:durableId="2128498676">
    <w:abstractNumId w:val="35"/>
  </w:num>
  <w:num w:numId="18" w16cid:durableId="299724409">
    <w:abstractNumId w:val="28"/>
  </w:num>
  <w:num w:numId="19" w16cid:durableId="214585573">
    <w:abstractNumId w:val="15"/>
  </w:num>
  <w:num w:numId="20" w16cid:durableId="1289816170">
    <w:abstractNumId w:val="17"/>
  </w:num>
  <w:num w:numId="21" w16cid:durableId="1066490929">
    <w:abstractNumId w:val="36"/>
  </w:num>
  <w:num w:numId="22" w16cid:durableId="1472481103">
    <w:abstractNumId w:val="30"/>
  </w:num>
  <w:num w:numId="23" w16cid:durableId="1997420403">
    <w:abstractNumId w:val="34"/>
  </w:num>
  <w:num w:numId="24" w16cid:durableId="33312838">
    <w:abstractNumId w:val="29"/>
  </w:num>
  <w:num w:numId="25" w16cid:durableId="507404939">
    <w:abstractNumId w:val="18"/>
  </w:num>
  <w:num w:numId="26" w16cid:durableId="1199008779">
    <w:abstractNumId w:val="16"/>
  </w:num>
  <w:num w:numId="27" w16cid:durableId="313687096">
    <w:abstractNumId w:val="20"/>
  </w:num>
  <w:num w:numId="28" w16cid:durableId="235746884">
    <w:abstractNumId w:val="12"/>
  </w:num>
  <w:num w:numId="29" w16cid:durableId="685014010">
    <w:abstractNumId w:val="21"/>
  </w:num>
  <w:num w:numId="30" w16cid:durableId="879166249">
    <w:abstractNumId w:val="32"/>
  </w:num>
  <w:num w:numId="31" w16cid:durableId="1243566383">
    <w:abstractNumId w:val="31"/>
  </w:num>
  <w:num w:numId="32" w16cid:durableId="48312736">
    <w:abstractNumId w:val="10"/>
  </w:num>
  <w:num w:numId="33" w16cid:durableId="107051471">
    <w:abstractNumId w:val="27"/>
  </w:num>
  <w:num w:numId="34" w16cid:durableId="21127896">
    <w:abstractNumId w:val="24"/>
  </w:num>
  <w:num w:numId="35" w16cid:durableId="15543901">
    <w:abstractNumId w:val="23"/>
  </w:num>
  <w:num w:numId="36" w16cid:durableId="1600332997">
    <w:abstractNumId w:val="26"/>
  </w:num>
  <w:num w:numId="37" w16cid:durableId="557397167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67791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0713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5D8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6BD4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37F2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12B0"/>
    <w:rsid w:val="0017303E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6A9A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09B9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2B07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64E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278D3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D9D"/>
    <w:rsid w:val="00235FEF"/>
    <w:rsid w:val="00240136"/>
    <w:rsid w:val="00240736"/>
    <w:rsid w:val="00240C70"/>
    <w:rsid w:val="00240F2D"/>
    <w:rsid w:val="0024185D"/>
    <w:rsid w:val="002423DE"/>
    <w:rsid w:val="00242E29"/>
    <w:rsid w:val="00242F54"/>
    <w:rsid w:val="00243017"/>
    <w:rsid w:val="0024305D"/>
    <w:rsid w:val="00243F30"/>
    <w:rsid w:val="00244442"/>
    <w:rsid w:val="0024498F"/>
    <w:rsid w:val="002504F9"/>
    <w:rsid w:val="00250C39"/>
    <w:rsid w:val="00250E25"/>
    <w:rsid w:val="00251EE2"/>
    <w:rsid w:val="00252864"/>
    <w:rsid w:val="00252CE1"/>
    <w:rsid w:val="0025338B"/>
    <w:rsid w:val="0025395A"/>
    <w:rsid w:val="002540D5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72F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5D89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18F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40EC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3F1B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84C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0BD0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933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DE2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0D5D"/>
    <w:rsid w:val="003E1C0F"/>
    <w:rsid w:val="003E28D8"/>
    <w:rsid w:val="003E31EE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319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155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0D7F"/>
    <w:rsid w:val="00451431"/>
    <w:rsid w:val="004516EC"/>
    <w:rsid w:val="00452589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77EA2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6C08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76E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5BC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C4B"/>
    <w:rsid w:val="00566D18"/>
    <w:rsid w:val="00567075"/>
    <w:rsid w:val="0056761E"/>
    <w:rsid w:val="00571218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7611F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463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B59A2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1D2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9D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2F27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6DF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1F63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410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D76FA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ADD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4EE2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7F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010D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2986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2F72"/>
    <w:rsid w:val="0083565A"/>
    <w:rsid w:val="00835A0B"/>
    <w:rsid w:val="008409AE"/>
    <w:rsid w:val="00840E81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887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59E9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3BC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1161"/>
    <w:rsid w:val="0090242B"/>
    <w:rsid w:val="00903866"/>
    <w:rsid w:val="009047E5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582"/>
    <w:rsid w:val="00934A46"/>
    <w:rsid w:val="00935BC3"/>
    <w:rsid w:val="00937266"/>
    <w:rsid w:val="00940AA9"/>
    <w:rsid w:val="0094112A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11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696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AD7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7FB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4EBE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52"/>
    <w:rsid w:val="00B038AD"/>
    <w:rsid w:val="00B038CA"/>
    <w:rsid w:val="00B03B5E"/>
    <w:rsid w:val="00B03B92"/>
    <w:rsid w:val="00B046B1"/>
    <w:rsid w:val="00B04801"/>
    <w:rsid w:val="00B0481F"/>
    <w:rsid w:val="00B04BD5"/>
    <w:rsid w:val="00B04DE0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75D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71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FC6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866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79C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826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3EA6"/>
    <w:rsid w:val="00CE409F"/>
    <w:rsid w:val="00CE4870"/>
    <w:rsid w:val="00CE61C3"/>
    <w:rsid w:val="00CE6A0D"/>
    <w:rsid w:val="00CE71E6"/>
    <w:rsid w:val="00CE72B8"/>
    <w:rsid w:val="00CE76BE"/>
    <w:rsid w:val="00CE7E59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370D"/>
    <w:rsid w:val="00D04030"/>
    <w:rsid w:val="00D04349"/>
    <w:rsid w:val="00D048E0"/>
    <w:rsid w:val="00D04CA2"/>
    <w:rsid w:val="00D0573D"/>
    <w:rsid w:val="00D0592B"/>
    <w:rsid w:val="00D062C3"/>
    <w:rsid w:val="00D06BF8"/>
    <w:rsid w:val="00D07673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580B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1E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0BE4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4A2A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2EF0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440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CC7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0A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364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5FF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792"/>
    <w:rsid w:val="00F01821"/>
    <w:rsid w:val="00F01D9B"/>
    <w:rsid w:val="00F043C9"/>
    <w:rsid w:val="00F04FA6"/>
    <w:rsid w:val="00F0554B"/>
    <w:rsid w:val="00F05A19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1D4A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8F6"/>
    <w:rsid w:val="00F83AB3"/>
    <w:rsid w:val="00F83E4C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473435-D5C6-43DB-86DA-1E6EA3CBA63B}"/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Gattex SGM 1838-A</vt:lpstr>
    </vt:vector>
  </TitlesOfParts>
  <Company>CVS Caremark</Company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Gattex SGM 1838-A</dc:title>
  <dc:subject>Gattex SGM 1838-A</dc:subject>
  <dc:creator>CVS Caremark</dc:creator>
  <cp:keywords/>
  <cp:lastModifiedBy>Reynoso, Victor H</cp:lastModifiedBy>
  <cp:revision>4</cp:revision>
  <cp:lastPrinted>2024-04-08T14:05:00Z</cp:lastPrinted>
  <dcterms:created xsi:type="dcterms:W3CDTF">2025-04-17T15:41:00Z</dcterms:created>
  <dcterms:modified xsi:type="dcterms:W3CDTF">2025-04-17T15:44:00Z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536100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